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26579605"/>
    <w:bookmarkEnd w:id="0"/>
    <w:p w:rsidR="001F67B3" w:rsidRPr="001F67B3" w:rsidRDefault="001F67B3" w:rsidP="001F67B3">
      <w:pPr>
        <w:rPr>
          <w:color w:val="538135" w:themeColor="accent6" w:themeShade="BF"/>
          <w:sz w:val="56"/>
          <w:szCs w:val="56"/>
        </w:rPr>
      </w:pPr>
      <w:r>
        <w:object w:dxaOrig="3406" w:dyaOrig="1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61.5pt" o:ole="">
            <v:imagedata r:id="rId4" o:title=""/>
          </v:shape>
          <o:OLEObject Type="Embed" ProgID="Word.Picture.8" ShapeID="_x0000_i1025" DrawAspect="Content" ObjectID="_1522077502" r:id="rId5"/>
        </w:object>
      </w:r>
      <w:r>
        <w:t xml:space="preserve">                     </w:t>
      </w:r>
      <w:r w:rsidRPr="00301CA2">
        <w:rPr>
          <w:color w:val="FC3E6B"/>
          <w:sz w:val="44"/>
          <w:szCs w:val="44"/>
        </w:rPr>
        <w:t xml:space="preserve"> </w:t>
      </w:r>
      <w:r w:rsidRPr="001F67B3">
        <w:rPr>
          <w:color w:val="538135" w:themeColor="accent6" w:themeShade="BF"/>
          <w:sz w:val="56"/>
          <w:szCs w:val="56"/>
        </w:rPr>
        <w:t>FLEURANCE</w:t>
      </w:r>
    </w:p>
    <w:p w:rsidR="001F67B3" w:rsidRPr="00301CA2" w:rsidRDefault="001F67B3" w:rsidP="001F67B3">
      <w:pPr>
        <w:pStyle w:val="Style1"/>
        <w:rPr>
          <w:rFonts w:ascii="Bradley Hand ITC" w:hAnsi="Bradley Hand ITC"/>
          <w:b/>
          <w:i/>
          <w:color w:val="FC3E6B"/>
          <w:sz w:val="22"/>
          <w:szCs w:val="22"/>
          <w:u w:val="single"/>
        </w:rPr>
      </w:pPr>
    </w:p>
    <w:p w:rsidR="001F67B3" w:rsidRPr="001F67B3" w:rsidRDefault="001F67B3" w:rsidP="001F67B3">
      <w:pPr>
        <w:pStyle w:val="Style1"/>
        <w:rPr>
          <w:color w:val="538135" w:themeColor="accent6" w:themeShade="BF"/>
          <w:sz w:val="22"/>
          <w:szCs w:val="22"/>
        </w:rPr>
      </w:pPr>
      <w:r w:rsidRPr="001F67B3">
        <w:rPr>
          <w:rFonts w:ascii="Bradley Hand ITC" w:hAnsi="Bradley Hand ITC"/>
          <w:b/>
          <w:color w:val="538135" w:themeColor="accent6" w:themeShade="BF"/>
          <w:sz w:val="32"/>
          <w:szCs w:val="32"/>
          <w:u w:val="single"/>
        </w:rPr>
        <w:t>G</w:t>
      </w:r>
      <w:r w:rsidRPr="003404D4">
        <w:rPr>
          <w:b/>
          <w:i/>
          <w:sz w:val="22"/>
          <w:szCs w:val="22"/>
          <w:u w:val="single"/>
        </w:rPr>
        <w:t>amme</w:t>
      </w:r>
      <w:r w:rsidRPr="003404D4">
        <w:rPr>
          <w:i/>
          <w:sz w:val="22"/>
          <w:szCs w:val="22"/>
          <w:u w:val="single"/>
        </w:rPr>
        <w:t> :</w:t>
      </w:r>
      <w:r w:rsidRPr="003404D4"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Sélection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A</w:t>
      </w:r>
      <w:r w:rsidRPr="003404D4">
        <w:rPr>
          <w:b/>
          <w:bCs/>
          <w:u w:val="single"/>
        </w:rPr>
        <w:t>ppellation :</w:t>
      </w:r>
      <w:r>
        <w:rPr>
          <w:b/>
          <w:bCs/>
        </w:rPr>
        <w:t xml:space="preserve">   </w:t>
      </w:r>
      <w:r>
        <w:t>IGP Pays d’Oc  Biologique certifié ECOCERT FR BIO 01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T</w:t>
      </w:r>
      <w:r w:rsidRPr="003404D4">
        <w:rPr>
          <w:b/>
          <w:bCs/>
          <w:u w:val="single"/>
        </w:rPr>
        <w:t>erroir :</w:t>
      </w:r>
      <w:r>
        <w:rPr>
          <w:b/>
          <w:bCs/>
        </w:rPr>
        <w:t xml:space="preserve">   </w:t>
      </w:r>
      <w:r>
        <w:t xml:space="preserve">Argilo-calcaire 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C</w:t>
      </w:r>
      <w:r w:rsidRPr="003404D4">
        <w:rPr>
          <w:b/>
          <w:bCs/>
          <w:u w:val="single"/>
        </w:rPr>
        <w:t>épage :</w:t>
      </w:r>
      <w:r>
        <w:rPr>
          <w:b/>
          <w:bCs/>
        </w:rPr>
        <w:t xml:space="preserve"> </w:t>
      </w:r>
      <w:r w:rsidR="00681EE1">
        <w:rPr>
          <w:bCs/>
        </w:rPr>
        <w:t>Muscat 80 %, chardonnay 20 %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V</w:t>
      </w:r>
      <w:r w:rsidRPr="005B4CDE">
        <w:rPr>
          <w:b/>
          <w:bCs/>
          <w:u w:val="single"/>
        </w:rPr>
        <w:t>endanges :</w:t>
      </w:r>
      <w:r>
        <w:rPr>
          <w:b/>
          <w:bCs/>
        </w:rPr>
        <w:t xml:space="preserve"> </w:t>
      </w:r>
      <w:r>
        <w:rPr>
          <w:bCs/>
        </w:rPr>
        <w:t>Vendanges mécanique de nuit pour conserver la fraicheur des raisins</w:t>
      </w:r>
      <w:r>
        <w:t xml:space="preserve">. Egrenage. Conditions climatiques et état sanitaire </w:t>
      </w:r>
      <w:r w:rsidR="00681EE1">
        <w:t>bon</w:t>
      </w:r>
      <w:r>
        <w:t>.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V</w:t>
      </w:r>
      <w:r w:rsidRPr="00165ECB">
        <w:rPr>
          <w:b/>
          <w:bCs/>
          <w:u w:val="single"/>
        </w:rPr>
        <w:t>inification </w:t>
      </w:r>
      <w:r w:rsidR="00681EE1">
        <w:rPr>
          <w:b/>
          <w:bCs/>
          <w:u w:val="single"/>
        </w:rPr>
        <w:t>:</w:t>
      </w:r>
      <w:r w:rsidR="00681EE1">
        <w:rPr>
          <w:bCs/>
        </w:rPr>
        <w:t xml:space="preserve"> </w:t>
      </w:r>
      <w:r w:rsidR="00557F19">
        <w:rPr>
          <w:bCs/>
        </w:rPr>
        <w:t>F</w:t>
      </w:r>
      <w:r w:rsidR="00557F19">
        <w:t>oulage,</w:t>
      </w:r>
      <w:r>
        <w:t xml:space="preserve"> Pressurage pneumatique. Macération pelliculaire. Fermentation cépage par cépage. Températures contrôlées (1</w:t>
      </w:r>
      <w:r w:rsidR="00681EE1">
        <w:t>6</w:t>
      </w:r>
      <w:r>
        <w:t xml:space="preserve"> – </w:t>
      </w:r>
      <w:r w:rsidR="00681EE1">
        <w:t>18</w:t>
      </w:r>
      <w:r>
        <w:t xml:space="preserve">°C). 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ommentaire :</w:t>
      </w:r>
      <w:r>
        <w:rPr>
          <w:b/>
          <w:bCs/>
        </w:rPr>
        <w:t xml:space="preserve"> </w:t>
      </w:r>
      <w:r w:rsidR="00557F19" w:rsidRPr="00557F19">
        <w:rPr>
          <w:bCs/>
        </w:rPr>
        <w:t>Couleur</w:t>
      </w:r>
      <w:r w:rsidR="00557F19">
        <w:rPr>
          <w:b/>
          <w:bCs/>
        </w:rPr>
        <w:t xml:space="preserve"> </w:t>
      </w:r>
      <w:r>
        <w:t xml:space="preserve">Jaune </w:t>
      </w:r>
      <w:r w:rsidR="00681EE1">
        <w:t>pâle</w:t>
      </w:r>
      <w:r>
        <w:t>, b</w:t>
      </w:r>
      <w:r w:rsidR="00557F19">
        <w:t>elle brillance. Nez marqué par d</w:t>
      </w:r>
      <w:r>
        <w:t xml:space="preserve">es arômes de fruits à </w:t>
      </w:r>
      <w:r w:rsidR="00681EE1">
        <w:t>fleur</w:t>
      </w:r>
      <w:r w:rsidR="00557F19">
        <w:t>s</w:t>
      </w:r>
      <w:r w:rsidR="00681EE1">
        <w:t xml:space="preserve"> blanche</w:t>
      </w:r>
      <w:r w:rsidR="00557F19">
        <w:t>s et de muscat</w:t>
      </w:r>
      <w:r>
        <w:t xml:space="preserve">. En bouche, l’attaque est franche avec un bel équilibre. Belle présence avec une finale </w:t>
      </w:r>
      <w:r w:rsidR="00557F19">
        <w:t>t</w:t>
      </w:r>
      <w:r w:rsidR="00681EE1">
        <w:t>rès aromatique</w:t>
      </w:r>
      <w:r>
        <w:t>.</w:t>
      </w:r>
    </w:p>
    <w:p w:rsidR="001F67B3" w:rsidRDefault="001F67B3" w:rsidP="001F67B3">
      <w:r w:rsidRPr="001F67B3">
        <w:rPr>
          <w:rFonts w:ascii="Bradley Hand ITC" w:hAnsi="Bradley Hand ITC"/>
          <w:b/>
          <w:bCs/>
          <w:color w:val="538135" w:themeColor="accent6" w:themeShade="BF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onseil de votre caviste</w:t>
      </w:r>
      <w:r>
        <w:rPr>
          <w:b/>
          <w:bCs/>
          <w:u w:val="single"/>
        </w:rPr>
        <w:t> :</w:t>
      </w:r>
      <w:r>
        <w:rPr>
          <w:bCs/>
        </w:rPr>
        <w:t xml:space="preserve"> </w:t>
      </w:r>
      <w:r w:rsidR="00681EE1">
        <w:rPr>
          <w:bCs/>
        </w:rPr>
        <w:t xml:space="preserve">A servir en apéritif ou sur des </w:t>
      </w:r>
      <w:r w:rsidR="00557F19">
        <w:rPr>
          <w:bCs/>
        </w:rPr>
        <w:t xml:space="preserve">desserts mais </w:t>
      </w:r>
      <w:bookmarkStart w:id="1" w:name="_GoBack"/>
      <w:bookmarkEnd w:id="1"/>
      <w:r w:rsidR="00557F19">
        <w:rPr>
          <w:bCs/>
        </w:rPr>
        <w:t>accompagnera également vos</w:t>
      </w:r>
      <w:r w:rsidR="00681EE1">
        <w:rPr>
          <w:bCs/>
        </w:rPr>
        <w:t xml:space="preserve"> fromages frais</w:t>
      </w:r>
      <w:r w:rsidR="00557F19">
        <w:rPr>
          <w:bCs/>
        </w:rPr>
        <w:t xml:space="preserve"> ou à pât</w:t>
      </w:r>
      <w:r w:rsidR="00681EE1">
        <w:rPr>
          <w:bCs/>
        </w:rPr>
        <w:t>es molle</w:t>
      </w:r>
      <w:r w:rsidR="00557F19">
        <w:rPr>
          <w:bCs/>
        </w:rPr>
        <w:t>s</w:t>
      </w:r>
      <w:r>
        <w:t xml:space="preserve">. A apprécier dès maintenant ou à garder </w:t>
      </w:r>
      <w:r w:rsidR="00681EE1">
        <w:t>1</w:t>
      </w:r>
      <w:r>
        <w:t xml:space="preserve"> an. Servir entre 10 et 12° C.</w:t>
      </w:r>
    </w:p>
    <w:p w:rsidR="001F67B3" w:rsidRDefault="001F67B3" w:rsidP="001F67B3">
      <w:r w:rsidRPr="001F67B3">
        <w:rPr>
          <w:rFonts w:ascii="Bradley Hand ITC" w:hAnsi="Bradley Hand ITC"/>
          <w:b/>
          <w:color w:val="538135" w:themeColor="accent6" w:themeShade="BF"/>
          <w:sz w:val="32"/>
          <w:szCs w:val="32"/>
          <w:u w:val="single"/>
        </w:rPr>
        <w:t>L</w:t>
      </w:r>
      <w:r w:rsidRPr="00337CFA">
        <w:rPr>
          <w:u w:val="single"/>
        </w:rPr>
        <w:t>abel</w:t>
      </w:r>
      <w:r>
        <w:t xml:space="preserve"> :              </w:t>
      </w:r>
      <w:r w:rsidR="00CB1996">
        <w:rPr>
          <w:noProof/>
          <w:lang w:eastAsia="fr-FR"/>
        </w:rPr>
        <w:drawing>
          <wp:inline distT="0" distB="0" distL="0" distR="0" wp14:anchorId="27CBEC07" wp14:editId="5D20783E">
            <wp:extent cx="695325" cy="349250"/>
            <wp:effectExtent l="0" t="0" r="9525" b="0"/>
            <wp:docPr id="2" name="Image 2" descr="D:\Users\Propriétaire\Desktop\LOGO AB E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Users\Propriétaire\Desktop\LOGO AB EU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 wp14:anchorId="798E19BF" wp14:editId="5B7E9B90">
            <wp:extent cx="495300" cy="279952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2" cy="2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2322C1CD" wp14:editId="07718AD3">
            <wp:extent cx="779477" cy="277953"/>
            <wp:effectExtent l="0" t="0" r="190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0" cy="3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 wp14:anchorId="29E780B8" wp14:editId="3141D1EF">
            <wp:extent cx="268800" cy="377067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5" cy="4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AE10A8" w:rsidRDefault="001F67B3" w:rsidP="001F67B3">
      <w:pPr>
        <w:pStyle w:val="Style1"/>
        <w:jc w:val="center"/>
      </w:pPr>
      <w:r w:rsidRPr="00337CFA">
        <w:rPr>
          <w:color w:val="404040" w:themeColor="text1" w:themeTint="BF"/>
          <w:sz w:val="22"/>
          <w:szCs w:val="22"/>
        </w:rPr>
        <w:t xml:space="preserve">Domaine La </w:t>
      </w:r>
      <w:proofErr w:type="spellStart"/>
      <w:r w:rsidRPr="00337CFA">
        <w:rPr>
          <w:color w:val="404040" w:themeColor="text1" w:themeTint="BF"/>
          <w:sz w:val="22"/>
          <w:szCs w:val="22"/>
        </w:rPr>
        <w:t>Jasse</w:t>
      </w:r>
      <w:proofErr w:type="spellEnd"/>
      <w:r w:rsidRPr="00337CFA">
        <w:rPr>
          <w:color w:val="404040" w:themeColor="text1" w:themeTint="BF"/>
          <w:sz w:val="22"/>
          <w:szCs w:val="22"/>
        </w:rPr>
        <w:t xml:space="preserve"> d’Isnard – 30470 Aimargues – tel : 04 66 88 61 98 www.jassedisnard.com</w:t>
      </w:r>
      <w:r>
        <w:rPr>
          <w:color w:val="404040" w:themeColor="text1" w:themeTint="BF"/>
          <w:sz w:val="22"/>
          <w:szCs w:val="22"/>
        </w:rPr>
        <w:t xml:space="preserve">    </w:t>
      </w:r>
    </w:p>
    <w:sectPr w:rsidR="00AE10A8" w:rsidSect="001F67B3">
      <w:pgSz w:w="8391" w:h="11907" w:code="11"/>
      <w:pgMar w:top="720" w:right="720" w:bottom="720" w:left="720" w:header="708" w:footer="708" w:gutter="0"/>
      <w:pgBorders w:offsetFrom="page">
        <w:top w:val="double" w:sz="6" w:space="24" w:color="538135" w:themeColor="accent6" w:themeShade="BF"/>
        <w:left w:val="double" w:sz="6" w:space="24" w:color="538135" w:themeColor="accent6" w:themeShade="BF"/>
        <w:bottom w:val="double" w:sz="6" w:space="24" w:color="538135" w:themeColor="accent6" w:themeShade="BF"/>
        <w:right w:val="double" w:sz="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B3"/>
    <w:rsid w:val="001F67B3"/>
    <w:rsid w:val="00557F19"/>
    <w:rsid w:val="00681EE1"/>
    <w:rsid w:val="00AE10A8"/>
    <w:rsid w:val="00C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F3114-D220-4BC7-9357-E7BEA3DE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1F67B3"/>
    <w:rPr>
      <w:sz w:val="56"/>
      <w:szCs w:val="56"/>
    </w:rPr>
  </w:style>
  <w:style w:type="character" w:customStyle="1" w:styleId="Style1Car">
    <w:name w:val="Style1 Car"/>
    <w:basedOn w:val="Policepardfaut"/>
    <w:link w:val="Style1"/>
    <w:rsid w:val="001F67B3"/>
    <w:rPr>
      <w:sz w:val="56"/>
      <w:szCs w:val="56"/>
    </w:rPr>
  </w:style>
  <w:style w:type="paragraph" w:styleId="Retraitcorpsdetexte">
    <w:name w:val="Body Text Indent"/>
    <w:basedOn w:val="Normal"/>
    <w:link w:val="RetraitcorpsdetexteCar"/>
    <w:semiHidden/>
    <w:rsid w:val="001F67B3"/>
    <w:pPr>
      <w:spacing w:after="0" w:line="240" w:lineRule="auto"/>
      <w:ind w:left="141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F67B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4</cp:revision>
  <dcterms:created xsi:type="dcterms:W3CDTF">2015-03-10T15:27:00Z</dcterms:created>
  <dcterms:modified xsi:type="dcterms:W3CDTF">2016-04-13T16:32:00Z</dcterms:modified>
</cp:coreProperties>
</file>