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26579605"/>
    <w:bookmarkEnd w:id="0"/>
    <w:p w:rsidR="00002D21" w:rsidRDefault="00002D21" w:rsidP="00002D21">
      <w:pPr>
        <w:rPr>
          <w:color w:val="A8D08D" w:themeColor="accent6" w:themeTint="99"/>
          <w:sz w:val="48"/>
          <w:szCs w:val="48"/>
        </w:rPr>
      </w:pPr>
      <w:r>
        <w:object w:dxaOrig="3406" w:dyaOrig="1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61.5pt" o:ole="">
            <v:imagedata r:id="rId4" o:title=""/>
          </v:shape>
          <o:OLEObject Type="Embed" ProgID="Word.Picture.8" ShapeID="_x0000_i1025" DrawAspect="Content" ObjectID="_1521632623" r:id="rId5"/>
        </w:object>
      </w:r>
      <w:r>
        <w:t xml:space="preserve">                   </w:t>
      </w:r>
      <w:r w:rsidRPr="00002D21">
        <w:rPr>
          <w:color w:val="171717" w:themeColor="background2" w:themeShade="1A"/>
          <w:sz w:val="44"/>
          <w:szCs w:val="44"/>
        </w:rPr>
        <w:t>ELEGANCE ROUGE</w:t>
      </w:r>
    </w:p>
    <w:p w:rsidR="00002D21" w:rsidRPr="003404D4" w:rsidRDefault="00002D21" w:rsidP="00002D21">
      <w:pPr>
        <w:pStyle w:val="Style1"/>
        <w:rPr>
          <w:sz w:val="22"/>
          <w:szCs w:val="22"/>
        </w:rPr>
      </w:pPr>
      <w:r w:rsidRPr="00002D21">
        <w:rPr>
          <w:rFonts w:ascii="Bradley Hand ITC" w:hAnsi="Bradley Hand ITC"/>
          <w:b/>
          <w:color w:val="171717" w:themeColor="background2" w:themeShade="1A"/>
          <w:sz w:val="32"/>
          <w:szCs w:val="32"/>
          <w:u w:val="single"/>
        </w:rPr>
        <w:t>G</w:t>
      </w:r>
      <w:r w:rsidRPr="003404D4">
        <w:rPr>
          <w:b/>
          <w:i/>
          <w:sz w:val="22"/>
          <w:szCs w:val="22"/>
          <w:u w:val="single"/>
        </w:rPr>
        <w:t>amme</w:t>
      </w:r>
      <w:r w:rsidRPr="003404D4">
        <w:rPr>
          <w:i/>
          <w:sz w:val="22"/>
          <w:szCs w:val="22"/>
          <w:u w:val="single"/>
        </w:rPr>
        <w:t> :</w:t>
      </w:r>
      <w:r w:rsidRPr="003404D4">
        <w:rPr>
          <w:i/>
          <w:sz w:val="22"/>
          <w:szCs w:val="22"/>
        </w:rPr>
        <w:t xml:space="preserve">   </w:t>
      </w:r>
      <w:r>
        <w:rPr>
          <w:sz w:val="22"/>
          <w:szCs w:val="22"/>
        </w:rPr>
        <w:t>Elégance</w:t>
      </w:r>
    </w:p>
    <w:p w:rsidR="00002D21" w:rsidRDefault="00002D21" w:rsidP="00002D21">
      <w:r w:rsidRPr="00002D21">
        <w:rPr>
          <w:rFonts w:ascii="Bradley Hand ITC" w:hAnsi="Bradley Hand ITC"/>
          <w:b/>
          <w:bCs/>
          <w:color w:val="171717" w:themeColor="background2" w:themeShade="1A"/>
          <w:sz w:val="32"/>
          <w:szCs w:val="32"/>
          <w:u w:val="single"/>
        </w:rPr>
        <w:t>A</w:t>
      </w:r>
      <w:r w:rsidRPr="003404D4">
        <w:rPr>
          <w:b/>
          <w:bCs/>
          <w:u w:val="single"/>
        </w:rPr>
        <w:t>ppellation :</w:t>
      </w:r>
      <w:r>
        <w:rPr>
          <w:b/>
          <w:bCs/>
        </w:rPr>
        <w:t xml:space="preserve">   </w:t>
      </w:r>
      <w:r>
        <w:t>IGP Pays d’Oc  Biologique certifié ECOCERT FR BIO 01</w:t>
      </w:r>
    </w:p>
    <w:p w:rsidR="00002D21" w:rsidRDefault="00002D21" w:rsidP="00002D21">
      <w:r w:rsidRPr="00002D21">
        <w:rPr>
          <w:rFonts w:ascii="Bradley Hand ITC" w:hAnsi="Bradley Hand ITC"/>
          <w:b/>
          <w:bCs/>
          <w:color w:val="171717" w:themeColor="background2" w:themeShade="1A"/>
          <w:sz w:val="32"/>
          <w:szCs w:val="32"/>
          <w:u w:val="single"/>
        </w:rPr>
        <w:t>T</w:t>
      </w:r>
      <w:r w:rsidRPr="003404D4">
        <w:rPr>
          <w:b/>
          <w:bCs/>
          <w:u w:val="single"/>
        </w:rPr>
        <w:t>erroir :</w:t>
      </w:r>
      <w:r>
        <w:rPr>
          <w:b/>
          <w:bCs/>
        </w:rPr>
        <w:t xml:space="preserve">   </w:t>
      </w:r>
      <w:r>
        <w:t xml:space="preserve">Argilo-calcaire </w:t>
      </w:r>
    </w:p>
    <w:p w:rsidR="00002D21" w:rsidRDefault="00002D21" w:rsidP="00002D21">
      <w:r w:rsidRPr="00002D21">
        <w:rPr>
          <w:rFonts w:ascii="Bradley Hand ITC" w:hAnsi="Bradley Hand ITC"/>
          <w:b/>
          <w:bCs/>
          <w:color w:val="171717" w:themeColor="background2" w:themeShade="1A"/>
          <w:sz w:val="32"/>
          <w:szCs w:val="32"/>
          <w:u w:val="single"/>
        </w:rPr>
        <w:t>C</w:t>
      </w:r>
      <w:r w:rsidRPr="003404D4">
        <w:rPr>
          <w:b/>
          <w:bCs/>
          <w:u w:val="single"/>
        </w:rPr>
        <w:t>épage :</w:t>
      </w:r>
      <w:r>
        <w:rPr>
          <w:b/>
          <w:bCs/>
        </w:rPr>
        <w:t xml:space="preserve"> </w:t>
      </w:r>
      <w:r>
        <w:t>Cabernet-Sauvignon, Syrah</w:t>
      </w:r>
    </w:p>
    <w:p w:rsidR="00002D21" w:rsidRDefault="00002D21" w:rsidP="00002D21">
      <w:r w:rsidRPr="00002D21">
        <w:rPr>
          <w:rFonts w:ascii="Bradley Hand ITC" w:hAnsi="Bradley Hand ITC"/>
          <w:b/>
          <w:bCs/>
          <w:color w:val="171717" w:themeColor="background2" w:themeShade="1A"/>
          <w:sz w:val="32"/>
          <w:szCs w:val="32"/>
          <w:u w:val="single"/>
        </w:rPr>
        <w:t>V</w:t>
      </w:r>
      <w:r w:rsidRPr="005B4CDE">
        <w:rPr>
          <w:b/>
          <w:bCs/>
          <w:u w:val="single"/>
        </w:rPr>
        <w:t>endanges :</w:t>
      </w:r>
      <w:r>
        <w:rPr>
          <w:b/>
          <w:bCs/>
        </w:rPr>
        <w:t xml:space="preserve"> </w:t>
      </w:r>
      <w:r>
        <w:rPr>
          <w:bCs/>
        </w:rPr>
        <w:t xml:space="preserve">Vendanges mécaniques </w:t>
      </w:r>
      <w:r>
        <w:t>Egrenage. Conditions climatiques et état sanitaire correct.</w:t>
      </w:r>
    </w:p>
    <w:p w:rsidR="00002D21" w:rsidRDefault="00002D21" w:rsidP="00002D21">
      <w:r w:rsidRPr="00002D21">
        <w:rPr>
          <w:rFonts w:ascii="Bradley Hand ITC" w:hAnsi="Bradley Hand ITC"/>
          <w:b/>
          <w:bCs/>
          <w:color w:val="171717" w:themeColor="background2" w:themeShade="1A"/>
          <w:sz w:val="32"/>
          <w:szCs w:val="32"/>
          <w:u w:val="single"/>
        </w:rPr>
        <w:t>V</w:t>
      </w:r>
      <w:r w:rsidRPr="00165ECB">
        <w:rPr>
          <w:b/>
          <w:bCs/>
          <w:u w:val="single"/>
        </w:rPr>
        <w:t>inification </w:t>
      </w:r>
      <w:r>
        <w:rPr>
          <w:b/>
          <w:bCs/>
          <w:u w:val="single"/>
        </w:rPr>
        <w:t xml:space="preserve"> </w:t>
      </w:r>
      <w:proofErr w:type="spellStart"/>
      <w:r>
        <w:t>Eraflage</w:t>
      </w:r>
      <w:proofErr w:type="spellEnd"/>
      <w:r>
        <w:t xml:space="preserve"> , foulage 100%. Macération longue 15 à 20 jours. </w:t>
      </w:r>
      <w:proofErr w:type="spellStart"/>
      <w:r>
        <w:t>Pigeages</w:t>
      </w:r>
      <w:proofErr w:type="spellEnd"/>
      <w:r>
        <w:t xml:space="preserve"> journaliers. Températures contrôlées (30 à 35° C). Elevage en fût de chêne de 12 mois.</w:t>
      </w:r>
    </w:p>
    <w:p w:rsidR="00002D21" w:rsidRDefault="00002D21" w:rsidP="00002D21">
      <w:r w:rsidRPr="00002D21">
        <w:rPr>
          <w:rFonts w:ascii="Bradley Hand ITC" w:hAnsi="Bradley Hand ITC"/>
          <w:b/>
          <w:bCs/>
          <w:color w:val="171717" w:themeColor="background2" w:themeShade="1A"/>
          <w:sz w:val="32"/>
          <w:szCs w:val="32"/>
          <w:u w:val="single"/>
        </w:rPr>
        <w:t>C</w:t>
      </w:r>
      <w:r w:rsidRPr="00165ECB">
        <w:rPr>
          <w:b/>
          <w:bCs/>
          <w:u w:val="single"/>
        </w:rPr>
        <w:t>ommentaire :</w:t>
      </w:r>
      <w:r>
        <w:rPr>
          <w:b/>
          <w:bCs/>
          <w:u w:val="single"/>
        </w:rPr>
        <w:t xml:space="preserve"> </w:t>
      </w:r>
      <w:r>
        <w:t xml:space="preserve">Robe carmin au profond reflet ambré. </w:t>
      </w:r>
      <w:r>
        <w:tab/>
        <w:t>Nez riche et complexe qui se distingue par ses arômes de fruits mûrs et la finesse de son boisé. En bouche, vin ample et bien structuré lui permettant un temps de garde de 4 à 5 ans.</w:t>
      </w:r>
    </w:p>
    <w:p w:rsidR="00002D21" w:rsidRDefault="00002D21" w:rsidP="00002D21">
      <w:r w:rsidRPr="00002D21">
        <w:rPr>
          <w:rFonts w:ascii="Bradley Hand ITC" w:hAnsi="Bradley Hand ITC"/>
          <w:b/>
          <w:bCs/>
          <w:color w:val="171717" w:themeColor="background2" w:themeShade="1A"/>
          <w:sz w:val="32"/>
          <w:szCs w:val="32"/>
          <w:u w:val="single"/>
        </w:rPr>
        <w:t>C</w:t>
      </w:r>
      <w:r w:rsidRPr="00165ECB">
        <w:rPr>
          <w:b/>
          <w:bCs/>
          <w:u w:val="single"/>
        </w:rPr>
        <w:t>onseil de votre caviste :</w:t>
      </w:r>
      <w:r>
        <w:t xml:space="preserve">   Vous apprécierez ce vin sur vos plats relevés (en sauce par exemple ou épicés) ainsi que sur vos fromages. Aération conseillée avant consommation. A boire entre 18 et 20 degrés.</w:t>
      </w:r>
    </w:p>
    <w:p w:rsidR="00002D21" w:rsidRDefault="00002D21" w:rsidP="00002D21">
      <w:r w:rsidRPr="00002D21">
        <w:rPr>
          <w:rFonts w:ascii="Bradley Hand ITC" w:hAnsi="Bradley Hand ITC"/>
          <w:b/>
          <w:color w:val="171717" w:themeColor="background2" w:themeShade="1A"/>
          <w:sz w:val="32"/>
          <w:szCs w:val="32"/>
          <w:u w:val="single"/>
        </w:rPr>
        <w:t>L</w:t>
      </w:r>
      <w:r w:rsidRPr="00337CFA">
        <w:rPr>
          <w:u w:val="single"/>
        </w:rPr>
        <w:t>abel</w:t>
      </w:r>
      <w:r>
        <w:t xml:space="preserve"> :              </w:t>
      </w:r>
      <w:r w:rsidR="005E3DF9">
        <w:rPr>
          <w:noProof/>
          <w:lang w:eastAsia="fr-FR"/>
        </w:rPr>
        <w:drawing>
          <wp:inline distT="0" distB="0" distL="0" distR="0" wp14:anchorId="475951B1" wp14:editId="339C6620">
            <wp:extent cx="695325" cy="349250"/>
            <wp:effectExtent l="0" t="0" r="9525" b="0"/>
            <wp:docPr id="2" name="Image 2" descr="D:\Users\Propriétaire\Desktop\LOGO AB EURO.png"/>
            <wp:cNvGraphicFramePr/>
            <a:graphic xmlns:a="http://schemas.openxmlformats.org/drawingml/2006/main">
              <a:graphicData uri="http://schemas.openxmlformats.org/drawingml/2006/picture">
                <pic:pic xmlns:pic="http://schemas.openxmlformats.org/drawingml/2006/picture">
                  <pic:nvPicPr>
                    <pic:cNvPr id="2" name="Image 2" descr="D:\Users\Propriétaire\Desktop\LOGO AB EURO.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349250"/>
                    </a:xfrm>
                    <a:prstGeom prst="rect">
                      <a:avLst/>
                    </a:prstGeom>
                    <a:noFill/>
                    <a:ln>
                      <a:noFill/>
                    </a:ln>
                  </pic:spPr>
                </pic:pic>
              </a:graphicData>
            </a:graphic>
          </wp:inline>
        </w:drawing>
      </w:r>
      <w:bookmarkStart w:id="1" w:name="_GoBack"/>
      <w:bookmarkEnd w:id="1"/>
      <w:r>
        <w:t xml:space="preserve">         </w:t>
      </w:r>
      <w:r>
        <w:rPr>
          <w:noProof/>
          <w:lang w:eastAsia="fr-FR"/>
        </w:rPr>
        <w:drawing>
          <wp:inline distT="0" distB="0" distL="0" distR="0" wp14:anchorId="77239DE2" wp14:editId="2C6CD76C">
            <wp:extent cx="495300" cy="279952"/>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102" cy="287753"/>
                    </a:xfrm>
                    <a:prstGeom prst="rect">
                      <a:avLst/>
                    </a:prstGeom>
                    <a:noFill/>
                    <a:ln>
                      <a:noFill/>
                    </a:ln>
                  </pic:spPr>
                </pic:pic>
              </a:graphicData>
            </a:graphic>
          </wp:inline>
        </w:drawing>
      </w:r>
      <w:r>
        <w:t xml:space="preserve">        </w:t>
      </w:r>
      <w:r>
        <w:rPr>
          <w:noProof/>
          <w:lang w:eastAsia="fr-FR"/>
        </w:rPr>
        <w:drawing>
          <wp:inline distT="0" distB="0" distL="0" distR="0" wp14:anchorId="6691087F" wp14:editId="64FFEE2A">
            <wp:extent cx="779477" cy="277953"/>
            <wp:effectExtent l="0" t="0" r="1905" b="825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400" cy="348174"/>
                    </a:xfrm>
                    <a:prstGeom prst="rect">
                      <a:avLst/>
                    </a:prstGeom>
                    <a:noFill/>
                    <a:ln>
                      <a:noFill/>
                    </a:ln>
                  </pic:spPr>
                </pic:pic>
              </a:graphicData>
            </a:graphic>
          </wp:inline>
        </w:drawing>
      </w:r>
      <w:r>
        <w:t xml:space="preserve">          </w:t>
      </w:r>
      <w:r>
        <w:rPr>
          <w:noProof/>
          <w:lang w:eastAsia="fr-FR"/>
        </w:rPr>
        <w:drawing>
          <wp:inline distT="0" distB="0" distL="0" distR="0" wp14:anchorId="4960AF07" wp14:editId="1D277D5B">
            <wp:extent cx="268800" cy="377067"/>
            <wp:effectExtent l="0" t="0" r="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805" cy="400921"/>
                    </a:xfrm>
                    <a:prstGeom prst="rect">
                      <a:avLst/>
                    </a:prstGeom>
                    <a:noFill/>
                    <a:ln>
                      <a:noFill/>
                    </a:ln>
                  </pic:spPr>
                </pic:pic>
              </a:graphicData>
            </a:graphic>
          </wp:inline>
        </w:drawing>
      </w:r>
      <w:r>
        <w:t xml:space="preserve">   </w:t>
      </w:r>
    </w:p>
    <w:p w:rsidR="00145CD1" w:rsidRDefault="00002D21" w:rsidP="00002D21">
      <w:pPr>
        <w:pStyle w:val="Style1"/>
        <w:jc w:val="center"/>
      </w:pPr>
      <w:r w:rsidRPr="00337CFA">
        <w:rPr>
          <w:color w:val="404040" w:themeColor="text1" w:themeTint="BF"/>
          <w:sz w:val="22"/>
          <w:szCs w:val="22"/>
        </w:rPr>
        <w:t xml:space="preserve">Domaine La </w:t>
      </w:r>
      <w:proofErr w:type="spellStart"/>
      <w:r w:rsidRPr="00337CFA">
        <w:rPr>
          <w:color w:val="404040" w:themeColor="text1" w:themeTint="BF"/>
          <w:sz w:val="22"/>
          <w:szCs w:val="22"/>
        </w:rPr>
        <w:t>Jasse</w:t>
      </w:r>
      <w:proofErr w:type="spellEnd"/>
      <w:r w:rsidRPr="00337CFA">
        <w:rPr>
          <w:color w:val="404040" w:themeColor="text1" w:themeTint="BF"/>
          <w:sz w:val="22"/>
          <w:szCs w:val="22"/>
        </w:rPr>
        <w:t xml:space="preserve"> d’Isnard – 30470 Aimargues – tel : 04 66 88 61 98 www.jassedisnard.com</w:t>
      </w:r>
      <w:r>
        <w:rPr>
          <w:color w:val="404040" w:themeColor="text1" w:themeTint="BF"/>
          <w:sz w:val="22"/>
          <w:szCs w:val="22"/>
        </w:rPr>
        <w:t xml:space="preserve">       </w:t>
      </w:r>
    </w:p>
    <w:sectPr w:rsidR="00145CD1" w:rsidSect="00374903">
      <w:pgSz w:w="8391" w:h="11907" w:code="11"/>
      <w:pgMar w:top="720" w:right="720" w:bottom="720" w:left="720" w:header="708" w:footer="708" w:gutter="0"/>
      <w:pgBorders w:offsetFrom="page">
        <w:top w:val="double" w:sz="6" w:space="24" w:color="808080" w:themeColor="background1" w:themeShade="80"/>
        <w:left w:val="double" w:sz="6" w:space="24" w:color="808080" w:themeColor="background1" w:themeShade="80"/>
        <w:bottom w:val="double" w:sz="6" w:space="24" w:color="808080" w:themeColor="background1" w:themeShade="80"/>
        <w:right w:val="double" w:sz="6" w:space="24" w:color="808080" w:themeColor="background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21"/>
    <w:rsid w:val="00002D21"/>
    <w:rsid w:val="00145CD1"/>
    <w:rsid w:val="002222FB"/>
    <w:rsid w:val="005E3D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9C3A2-301D-4BA4-8573-BC74B217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D2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002D21"/>
    <w:rPr>
      <w:sz w:val="56"/>
      <w:szCs w:val="56"/>
    </w:rPr>
  </w:style>
  <w:style w:type="character" w:customStyle="1" w:styleId="Style1Car">
    <w:name w:val="Style1 Car"/>
    <w:basedOn w:val="Policepardfaut"/>
    <w:link w:val="Style1"/>
    <w:rsid w:val="00002D21"/>
    <w:rPr>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902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Propriétaire</dc:creator>
  <cp:keywords/>
  <dc:description/>
  <cp:lastModifiedBy>Propriétaire</cp:lastModifiedBy>
  <cp:revision>3</cp:revision>
  <dcterms:created xsi:type="dcterms:W3CDTF">2015-03-10T15:49:00Z</dcterms:created>
  <dcterms:modified xsi:type="dcterms:W3CDTF">2016-04-08T12:57:00Z</dcterms:modified>
</cp:coreProperties>
</file>