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26579605"/>
    <w:bookmarkEnd w:id="0"/>
    <w:p w:rsidR="0006615E" w:rsidRDefault="0006615E" w:rsidP="0006615E">
      <w:pPr>
        <w:rPr>
          <w:sz w:val="56"/>
          <w:szCs w:val="56"/>
        </w:rPr>
      </w:pPr>
      <w:r>
        <w:object w:dxaOrig="3406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1.5pt" o:ole="">
            <v:imagedata r:id="rId4" o:title=""/>
          </v:shape>
          <o:OLEObject Type="Embed" ProgID="Word.Picture.8" ShapeID="_x0000_i1025" DrawAspect="Content" ObjectID="_1612352032" r:id="rId5"/>
        </w:object>
      </w:r>
      <w:r>
        <w:t xml:space="preserve">                      </w:t>
      </w:r>
      <w:r w:rsidR="00241F0A">
        <w:t xml:space="preserve">  </w:t>
      </w:r>
      <w:bookmarkStart w:id="1" w:name="_GoBack"/>
      <w:bookmarkEnd w:id="1"/>
      <w:r w:rsidRPr="0006615E">
        <w:rPr>
          <w:color w:val="FF0000"/>
          <w:sz w:val="48"/>
          <w:szCs w:val="48"/>
        </w:rPr>
        <w:t>B</w:t>
      </w:r>
      <w:r w:rsidR="00241F0A">
        <w:rPr>
          <w:color w:val="FF0000"/>
          <w:sz w:val="48"/>
          <w:szCs w:val="48"/>
        </w:rPr>
        <w:t>IB</w:t>
      </w:r>
      <w:r w:rsidRPr="0006615E">
        <w:rPr>
          <w:color w:val="FF0000"/>
          <w:sz w:val="48"/>
          <w:szCs w:val="48"/>
        </w:rPr>
        <w:t xml:space="preserve"> </w:t>
      </w:r>
      <w:r w:rsidR="00241F0A">
        <w:rPr>
          <w:color w:val="FF0000"/>
          <w:sz w:val="48"/>
          <w:szCs w:val="48"/>
        </w:rPr>
        <w:t>Merlot</w:t>
      </w:r>
    </w:p>
    <w:p w:rsidR="0006615E" w:rsidRPr="003404D4" w:rsidRDefault="0006615E" w:rsidP="00F34F10">
      <w:pPr>
        <w:pStyle w:val="Style1"/>
        <w:jc w:val="both"/>
        <w:rPr>
          <w:sz w:val="22"/>
          <w:szCs w:val="22"/>
        </w:rPr>
      </w:pPr>
      <w:r w:rsidRPr="0006615E">
        <w:rPr>
          <w:rFonts w:ascii="Bradley Hand ITC" w:hAnsi="Bradley Hand ITC"/>
          <w:b/>
          <w:color w:val="FF0000"/>
          <w:sz w:val="32"/>
          <w:szCs w:val="32"/>
          <w:u w:val="single"/>
        </w:rPr>
        <w:t>G</w:t>
      </w:r>
      <w:r w:rsidRPr="003404D4">
        <w:rPr>
          <w:b/>
          <w:i/>
          <w:sz w:val="22"/>
          <w:szCs w:val="22"/>
          <w:u w:val="single"/>
        </w:rPr>
        <w:t>amme</w:t>
      </w:r>
      <w:r w:rsidRPr="003404D4">
        <w:rPr>
          <w:i/>
          <w:sz w:val="22"/>
          <w:szCs w:val="22"/>
          <w:u w:val="single"/>
        </w:rPr>
        <w:t> :</w:t>
      </w:r>
      <w:r w:rsidRPr="003404D4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Bag in box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A</w:t>
      </w:r>
      <w:r w:rsidRPr="003404D4">
        <w:rPr>
          <w:b/>
          <w:bCs/>
          <w:u w:val="single"/>
        </w:rPr>
        <w:t>ppellation :</w:t>
      </w:r>
      <w:r>
        <w:rPr>
          <w:b/>
          <w:bCs/>
        </w:rPr>
        <w:t xml:space="preserve">   </w:t>
      </w:r>
      <w:r>
        <w:t>IGP Pays d’Oc  Biologique certifié ECOCERT FR BIO 01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T</w:t>
      </w:r>
      <w:r w:rsidRPr="003404D4">
        <w:rPr>
          <w:b/>
          <w:bCs/>
          <w:u w:val="single"/>
        </w:rPr>
        <w:t>erroir :</w:t>
      </w:r>
      <w:r>
        <w:rPr>
          <w:b/>
          <w:bCs/>
        </w:rPr>
        <w:t xml:space="preserve">   </w:t>
      </w:r>
      <w:r>
        <w:t xml:space="preserve">Argilo-calcaire 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C</w:t>
      </w:r>
      <w:r w:rsidRPr="003404D4">
        <w:rPr>
          <w:b/>
          <w:bCs/>
          <w:u w:val="single"/>
        </w:rPr>
        <w:t>épage :</w:t>
      </w:r>
      <w:r>
        <w:rPr>
          <w:b/>
          <w:bCs/>
        </w:rPr>
        <w:t xml:space="preserve"> </w:t>
      </w:r>
      <w:r>
        <w:rPr>
          <w:bCs/>
        </w:rPr>
        <w:t>M</w:t>
      </w:r>
      <w:r>
        <w:t>erlot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V</w:t>
      </w:r>
      <w:r w:rsidRPr="005B4CDE">
        <w:rPr>
          <w:b/>
          <w:bCs/>
          <w:u w:val="single"/>
        </w:rPr>
        <w:t>endanges :</w:t>
      </w:r>
      <w:r>
        <w:rPr>
          <w:b/>
          <w:bCs/>
        </w:rPr>
        <w:t xml:space="preserve"> </w:t>
      </w:r>
      <w:r>
        <w:rPr>
          <w:bCs/>
        </w:rPr>
        <w:t>Vendanges mécaniques de nuit pour conserver la fraicheur des raisins</w:t>
      </w:r>
      <w:r>
        <w:t>. Egrenage. Conditions climatiques et état sanitaire correct.</w:t>
      </w:r>
    </w:p>
    <w:p w:rsidR="0006615E" w:rsidRPr="008853C1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V</w:t>
      </w:r>
      <w:r w:rsidRPr="00165ECB">
        <w:rPr>
          <w:b/>
          <w:bCs/>
          <w:u w:val="single"/>
        </w:rPr>
        <w:t>inification </w:t>
      </w:r>
      <w:r w:rsidRPr="008853C1">
        <w:rPr>
          <w:b/>
          <w:bCs/>
          <w:u w:val="single"/>
        </w:rPr>
        <w:t xml:space="preserve">: </w:t>
      </w:r>
      <w:r>
        <w:t xml:space="preserve">Traditionnelle. </w:t>
      </w:r>
      <w:proofErr w:type="spellStart"/>
      <w:r>
        <w:t>Eraflage</w:t>
      </w:r>
      <w:proofErr w:type="spellEnd"/>
      <w:r>
        <w:t xml:space="preserve">, </w:t>
      </w:r>
      <w:r w:rsidRPr="008853C1">
        <w:t>Foulage 100%.</w:t>
      </w:r>
      <w:r>
        <w:t xml:space="preserve"> </w:t>
      </w:r>
      <w:r w:rsidRPr="008853C1">
        <w:t>M</w:t>
      </w:r>
      <w:r>
        <w:t>acération courte de 4 à 6 jours</w:t>
      </w:r>
      <w:r w:rsidRPr="008853C1">
        <w:t>.</w:t>
      </w:r>
      <w:r>
        <w:t xml:space="preserve"> </w:t>
      </w:r>
      <w:r w:rsidRPr="008853C1">
        <w:t>Remontages journaliers.</w:t>
      </w:r>
      <w:r>
        <w:t xml:space="preserve"> </w:t>
      </w:r>
      <w:r w:rsidRPr="008853C1">
        <w:t>Températures contrôlées (20 à 25°C).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ommentaire :</w:t>
      </w:r>
      <w:r>
        <w:rPr>
          <w:b/>
          <w:bCs/>
        </w:rPr>
        <w:t xml:space="preserve"> </w:t>
      </w:r>
      <w:r>
        <w:t>Robe soutenue d’un beau rouge grenat, reflets vifs. Nez  aromatique de fruits rouges (framboises, groseilles). Très souple en bouche et</w:t>
      </w:r>
      <w:r w:rsidR="0097695D">
        <w:t xml:space="preserve"> bien équilibré.</w:t>
      </w:r>
    </w:p>
    <w:p w:rsidR="0006615E" w:rsidRDefault="0006615E" w:rsidP="00F34F10">
      <w:pPr>
        <w:jc w:val="both"/>
      </w:pPr>
      <w:r w:rsidRPr="0006615E">
        <w:rPr>
          <w:rFonts w:ascii="Bradley Hand ITC" w:hAnsi="Bradley Hand ITC"/>
          <w:b/>
          <w:bCs/>
          <w:color w:val="FF0000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onseil de votre caviste</w:t>
      </w:r>
      <w:r>
        <w:rPr>
          <w:b/>
          <w:bCs/>
          <w:u w:val="single"/>
        </w:rPr>
        <w:t xml:space="preserve"> : </w:t>
      </w:r>
      <w:r>
        <w:t>Vous apprécierez ce vin sur vos repas quotidien</w:t>
      </w:r>
      <w:r w:rsidR="00E21F08">
        <w:t>s</w:t>
      </w:r>
      <w:r>
        <w:t>, Le côté pratique du bag in box vous permettra de</w:t>
      </w:r>
      <w:r w:rsidR="00E21F08">
        <w:t xml:space="preserve"> le</w:t>
      </w:r>
      <w:r>
        <w:t xml:space="preserve"> consommer </w:t>
      </w:r>
      <w:r w:rsidR="00E21F08">
        <w:t xml:space="preserve"> </w:t>
      </w:r>
      <w:r>
        <w:t xml:space="preserve">selon vos besoins sur une période d’environ 21 jours tout en conservant la qualité du produit. </w:t>
      </w:r>
      <w:r w:rsidR="00E21F08">
        <w:t>Le</w:t>
      </w:r>
      <w:r>
        <w:t xml:space="preserve"> vin </w:t>
      </w:r>
      <w:r w:rsidR="00E21F08">
        <w:t>étant</w:t>
      </w:r>
      <w:r>
        <w:t xml:space="preserve"> conditionné dans une poche rétractable sous vide d’air ce qui permet une plus longue </w:t>
      </w:r>
      <w:r w:rsidR="000F312C">
        <w:t>conservation.</w:t>
      </w:r>
      <w:r>
        <w:t xml:space="preserve"> A boire dans l’année. </w:t>
      </w:r>
    </w:p>
    <w:p w:rsidR="00F34F10" w:rsidRDefault="0006615E" w:rsidP="000F312C">
      <w:r w:rsidRPr="0006615E">
        <w:rPr>
          <w:rFonts w:ascii="Bradley Hand ITC" w:hAnsi="Bradley Hand ITC"/>
          <w:b/>
          <w:color w:val="FF0000"/>
          <w:sz w:val="32"/>
          <w:szCs w:val="32"/>
          <w:u w:val="single"/>
        </w:rPr>
        <w:t>L</w:t>
      </w:r>
      <w:r w:rsidRPr="00337CFA">
        <w:rPr>
          <w:u w:val="single"/>
        </w:rPr>
        <w:t>abel</w:t>
      </w:r>
      <w:r>
        <w:t xml:space="preserve"> :              </w:t>
      </w:r>
      <w:r w:rsidR="00F26F93" w:rsidRPr="00E04498">
        <w:rPr>
          <w:noProof/>
          <w:lang w:eastAsia="fr-FR"/>
        </w:rPr>
        <w:drawing>
          <wp:inline distT="0" distB="0" distL="0" distR="0" wp14:anchorId="31ABEA6D" wp14:editId="2B4D25C0">
            <wp:extent cx="695325" cy="349672"/>
            <wp:effectExtent l="0" t="0" r="0" b="0"/>
            <wp:docPr id="5" name="Image 5" descr="D:\Users\Propriétaire\Desktop\LOGO AB E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ropriétaire\Desktop\LOGO AB EUR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0" cy="3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 wp14:anchorId="49E150F7" wp14:editId="63EBFDFA">
            <wp:extent cx="495300" cy="279952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2" cy="2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6F7B4F63" wp14:editId="68A1748F">
            <wp:extent cx="779477" cy="277953"/>
            <wp:effectExtent l="0" t="0" r="190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0" cy="3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 wp14:anchorId="15018BDC" wp14:editId="775F3EB3">
            <wp:extent cx="268800" cy="377067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" cy="4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F4258" w:rsidRDefault="0006615E" w:rsidP="00F34F10">
      <w:pPr>
        <w:jc w:val="center"/>
      </w:pPr>
      <w:r w:rsidRPr="00337CFA">
        <w:rPr>
          <w:color w:val="404040" w:themeColor="text1" w:themeTint="BF"/>
        </w:rPr>
        <w:t>Domaine La Jasse d’Isnard – 30470 Aimargues – tel : 04 66 88 61 98 www.jassedisnard.com</w:t>
      </w:r>
    </w:p>
    <w:sectPr w:rsidR="00FF4258" w:rsidSect="0006615E">
      <w:pgSz w:w="8391" w:h="11907" w:code="11"/>
      <w:pgMar w:top="720" w:right="720" w:bottom="720" w:left="720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5E"/>
    <w:rsid w:val="0006615E"/>
    <w:rsid w:val="000F312C"/>
    <w:rsid w:val="002219C5"/>
    <w:rsid w:val="00241F0A"/>
    <w:rsid w:val="0097695D"/>
    <w:rsid w:val="00E21F08"/>
    <w:rsid w:val="00F26F93"/>
    <w:rsid w:val="00F34F10"/>
    <w:rsid w:val="00F93DFC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9E29DB-B69D-4F17-8F3F-5B6B103B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06615E"/>
    <w:rPr>
      <w:sz w:val="56"/>
      <w:szCs w:val="56"/>
    </w:rPr>
  </w:style>
  <w:style w:type="character" w:customStyle="1" w:styleId="Style1Car">
    <w:name w:val="Style1 Car"/>
    <w:basedOn w:val="Policepardfaut"/>
    <w:link w:val="Style1"/>
    <w:rsid w:val="0006615E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4</cp:revision>
  <dcterms:created xsi:type="dcterms:W3CDTF">2016-01-22T09:31:00Z</dcterms:created>
  <dcterms:modified xsi:type="dcterms:W3CDTF">2019-02-22T13:47:00Z</dcterms:modified>
</cp:coreProperties>
</file>