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26579605"/>
    <w:bookmarkEnd w:id="0"/>
    <w:p w:rsidR="001E3326" w:rsidRPr="001E3326" w:rsidRDefault="001E3326" w:rsidP="001E3326">
      <w:pPr>
        <w:rPr>
          <w:color w:val="538135" w:themeColor="accent6" w:themeShade="BF"/>
          <w:sz w:val="56"/>
          <w:szCs w:val="56"/>
        </w:rPr>
      </w:pPr>
      <w:r>
        <w:object w:dxaOrig="3406" w:dyaOrig="1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1.5pt" o:ole="">
            <v:imagedata r:id="rId5" o:title=""/>
          </v:shape>
          <o:OLEObject Type="Embed" ProgID="Word.Picture.8" ShapeID="_x0000_i1025" DrawAspect="Content" ObjectID="_1612352045" r:id="rId6"/>
        </w:object>
      </w:r>
      <w:r w:rsidR="00140674">
        <w:t xml:space="preserve">              </w:t>
      </w:r>
      <w:r w:rsidR="00140674">
        <w:rPr>
          <w:b/>
          <w:color w:val="538135" w:themeColor="accent6" w:themeShade="BF"/>
          <w:sz w:val="48"/>
          <w:szCs w:val="48"/>
        </w:rPr>
        <w:t>BIB</w:t>
      </w:r>
      <w:r w:rsidRPr="001E3326">
        <w:rPr>
          <w:b/>
          <w:color w:val="538135" w:themeColor="accent6" w:themeShade="BF"/>
          <w:sz w:val="48"/>
          <w:szCs w:val="48"/>
        </w:rPr>
        <w:t xml:space="preserve"> </w:t>
      </w:r>
      <w:r w:rsidR="00140674">
        <w:rPr>
          <w:b/>
          <w:color w:val="538135" w:themeColor="accent6" w:themeShade="BF"/>
          <w:sz w:val="48"/>
          <w:szCs w:val="48"/>
        </w:rPr>
        <w:t>Chardonnay</w:t>
      </w:r>
    </w:p>
    <w:p w:rsidR="001E3326" w:rsidRPr="002E7CB6" w:rsidRDefault="001E3326" w:rsidP="001E3326">
      <w:pPr>
        <w:pStyle w:val="Style1"/>
        <w:rPr>
          <w:sz w:val="22"/>
          <w:szCs w:val="22"/>
        </w:rPr>
      </w:pPr>
      <w:bookmarkStart w:id="1" w:name="_GoBack"/>
      <w:r w:rsidRPr="00164B44">
        <w:rPr>
          <w:rFonts w:ascii="Bradley Hand ITC" w:hAnsi="Bradley Hand ITC"/>
          <w:b/>
          <w:color w:val="A8D08D" w:themeColor="accent6" w:themeTint="99"/>
          <w:sz w:val="32"/>
          <w:szCs w:val="32"/>
          <w:u w:val="single"/>
        </w:rPr>
        <w:t>G</w:t>
      </w:r>
      <w:r w:rsidRPr="003404D4">
        <w:rPr>
          <w:b/>
          <w:i/>
          <w:sz w:val="22"/>
          <w:szCs w:val="22"/>
          <w:u w:val="single"/>
        </w:rPr>
        <w:t>amme</w:t>
      </w:r>
      <w:r w:rsidRPr="003404D4">
        <w:rPr>
          <w:i/>
          <w:sz w:val="22"/>
          <w:szCs w:val="22"/>
          <w:u w:val="single"/>
        </w:rPr>
        <w:t> :</w:t>
      </w:r>
      <w:r w:rsidRPr="003404D4">
        <w:rPr>
          <w:i/>
          <w:sz w:val="22"/>
          <w:szCs w:val="22"/>
        </w:rPr>
        <w:t xml:space="preserve">   </w:t>
      </w:r>
      <w:r w:rsidR="00140674" w:rsidRPr="002E7CB6">
        <w:rPr>
          <w:sz w:val="22"/>
          <w:szCs w:val="22"/>
        </w:rPr>
        <w:t>B</w:t>
      </w:r>
      <w:r w:rsidRPr="002E7CB6">
        <w:rPr>
          <w:sz w:val="22"/>
          <w:szCs w:val="22"/>
        </w:rPr>
        <w:t xml:space="preserve">ag </w:t>
      </w:r>
      <w:r w:rsidR="00140674" w:rsidRPr="002E7CB6">
        <w:rPr>
          <w:sz w:val="22"/>
          <w:szCs w:val="22"/>
        </w:rPr>
        <w:t>In B</w:t>
      </w:r>
      <w:r w:rsidRPr="002E7CB6">
        <w:rPr>
          <w:sz w:val="22"/>
          <w:szCs w:val="22"/>
        </w:rPr>
        <w:t>ox</w:t>
      </w:r>
    </w:p>
    <w:bookmarkEnd w:id="1"/>
    <w:p w:rsidR="001E3326" w:rsidRDefault="001E3326" w:rsidP="001E3326">
      <w:r w:rsidRPr="00164B44">
        <w:rPr>
          <w:rFonts w:ascii="Bradley Hand ITC" w:hAnsi="Bradley Hand ITC"/>
          <w:b/>
          <w:bCs/>
          <w:color w:val="A8D08D" w:themeColor="accent6" w:themeTint="99"/>
          <w:sz w:val="32"/>
          <w:szCs w:val="32"/>
          <w:u w:val="single"/>
        </w:rPr>
        <w:t>A</w:t>
      </w:r>
      <w:r w:rsidRPr="003404D4">
        <w:rPr>
          <w:b/>
          <w:bCs/>
          <w:u w:val="single"/>
        </w:rPr>
        <w:t>ppellation :</w:t>
      </w:r>
      <w:r>
        <w:rPr>
          <w:b/>
          <w:bCs/>
        </w:rPr>
        <w:t xml:space="preserve">   </w:t>
      </w:r>
      <w:r>
        <w:t>IGP Pays d’Oc  Biologique certifié ECOCERT FR BIO 01</w:t>
      </w:r>
    </w:p>
    <w:p w:rsidR="001E3326" w:rsidRDefault="001E3326" w:rsidP="001E3326">
      <w:r w:rsidRPr="00164B44">
        <w:rPr>
          <w:rFonts w:ascii="Bradley Hand ITC" w:hAnsi="Bradley Hand ITC"/>
          <w:b/>
          <w:bCs/>
          <w:color w:val="A8D08D" w:themeColor="accent6" w:themeTint="99"/>
          <w:sz w:val="32"/>
          <w:szCs w:val="32"/>
          <w:u w:val="single"/>
        </w:rPr>
        <w:t>T</w:t>
      </w:r>
      <w:r w:rsidRPr="003404D4">
        <w:rPr>
          <w:b/>
          <w:bCs/>
          <w:u w:val="single"/>
        </w:rPr>
        <w:t>erroir :</w:t>
      </w:r>
      <w:r>
        <w:rPr>
          <w:b/>
          <w:bCs/>
        </w:rPr>
        <w:t xml:space="preserve">   </w:t>
      </w:r>
      <w:r>
        <w:t xml:space="preserve">Argilo-calcaire </w:t>
      </w:r>
    </w:p>
    <w:p w:rsidR="001E3326" w:rsidRDefault="001E3326" w:rsidP="001E3326">
      <w:r w:rsidRPr="00164B44">
        <w:rPr>
          <w:rFonts w:ascii="Bradley Hand ITC" w:hAnsi="Bradley Hand ITC"/>
          <w:b/>
          <w:bCs/>
          <w:color w:val="A8D08D" w:themeColor="accent6" w:themeTint="99"/>
          <w:sz w:val="32"/>
          <w:szCs w:val="32"/>
          <w:u w:val="single"/>
        </w:rPr>
        <w:t>C</w:t>
      </w:r>
      <w:r w:rsidRPr="003404D4">
        <w:rPr>
          <w:b/>
          <w:bCs/>
          <w:u w:val="single"/>
        </w:rPr>
        <w:t>épage :</w:t>
      </w:r>
      <w:r>
        <w:rPr>
          <w:b/>
          <w:bCs/>
        </w:rPr>
        <w:t xml:space="preserve"> </w:t>
      </w:r>
      <w:r>
        <w:t>Chardonnay 100%.</w:t>
      </w:r>
    </w:p>
    <w:p w:rsidR="001E3326" w:rsidRDefault="001E3326" w:rsidP="001E3326">
      <w:r w:rsidRPr="00164B44">
        <w:rPr>
          <w:rFonts w:ascii="Bradley Hand ITC" w:hAnsi="Bradley Hand ITC"/>
          <w:b/>
          <w:bCs/>
          <w:color w:val="A8D08D" w:themeColor="accent6" w:themeTint="99"/>
          <w:sz w:val="32"/>
          <w:szCs w:val="32"/>
          <w:u w:val="single"/>
        </w:rPr>
        <w:t>V</w:t>
      </w:r>
      <w:r w:rsidRPr="005B4CDE">
        <w:rPr>
          <w:b/>
          <w:bCs/>
          <w:u w:val="single"/>
        </w:rPr>
        <w:t>endanges :</w:t>
      </w:r>
      <w:r>
        <w:rPr>
          <w:b/>
          <w:bCs/>
        </w:rPr>
        <w:t xml:space="preserve"> </w:t>
      </w:r>
      <w:r>
        <w:rPr>
          <w:bCs/>
        </w:rPr>
        <w:t>Vendanges mécaniques de nuit pour conserver la fraicheur des raisins</w:t>
      </w:r>
      <w:r>
        <w:t>. Egrenage. Conditions climatiques et état sanitaire correct.</w:t>
      </w:r>
    </w:p>
    <w:p w:rsidR="001E3326" w:rsidRDefault="001E3326" w:rsidP="001E3326">
      <w:r w:rsidRPr="00164B44">
        <w:rPr>
          <w:rFonts w:ascii="Bradley Hand ITC" w:hAnsi="Bradley Hand ITC"/>
          <w:b/>
          <w:bCs/>
          <w:color w:val="A8D08D" w:themeColor="accent6" w:themeTint="99"/>
          <w:sz w:val="32"/>
          <w:szCs w:val="32"/>
          <w:u w:val="single"/>
        </w:rPr>
        <w:t>V</w:t>
      </w:r>
      <w:r w:rsidRPr="00165ECB">
        <w:rPr>
          <w:b/>
          <w:bCs/>
          <w:u w:val="single"/>
        </w:rPr>
        <w:t>inification :</w:t>
      </w:r>
      <w:r>
        <w:rPr>
          <w:b/>
          <w:bCs/>
          <w:u w:val="single"/>
        </w:rPr>
        <w:t xml:space="preserve"> </w:t>
      </w:r>
      <w:r>
        <w:t xml:space="preserve">   Pressurage pneumatique, sans foulage. Températures contrôlées et maitrisées. (18-20°C). Macération pelliculaire.</w:t>
      </w:r>
    </w:p>
    <w:p w:rsidR="001E3326" w:rsidRDefault="001E3326" w:rsidP="001E3326">
      <w:r w:rsidRPr="00164B44">
        <w:rPr>
          <w:rFonts w:ascii="Bradley Hand ITC" w:hAnsi="Bradley Hand ITC"/>
          <w:b/>
          <w:bCs/>
          <w:color w:val="A8D08D" w:themeColor="accent6" w:themeTint="99"/>
          <w:sz w:val="32"/>
          <w:szCs w:val="32"/>
          <w:u w:val="single"/>
        </w:rPr>
        <w:t>C</w:t>
      </w:r>
      <w:r w:rsidRPr="00165ECB">
        <w:rPr>
          <w:b/>
          <w:bCs/>
          <w:u w:val="single"/>
        </w:rPr>
        <w:t>ommentaire :</w:t>
      </w:r>
      <w:r>
        <w:rPr>
          <w:b/>
          <w:bCs/>
          <w:u w:val="single"/>
        </w:rPr>
        <w:t xml:space="preserve"> </w:t>
      </w:r>
      <w:r w:rsidRPr="00530A7D">
        <w:rPr>
          <w:bCs/>
        </w:rPr>
        <w:t>A</w:t>
      </w:r>
      <w:r>
        <w:t>spect jaune vif, reflets verts. Belle brillance. Nez de très bonne intensité aromatique, dominant fruité (fruits exotiques). Belle longueur, vin velouté.</w:t>
      </w:r>
    </w:p>
    <w:p w:rsidR="001E3326" w:rsidRDefault="001E3326" w:rsidP="001E3326">
      <w:pPr>
        <w:jc w:val="both"/>
      </w:pPr>
      <w:r w:rsidRPr="00164B44">
        <w:rPr>
          <w:rFonts w:ascii="Bradley Hand ITC" w:hAnsi="Bradley Hand ITC"/>
          <w:b/>
          <w:bCs/>
          <w:color w:val="A8D08D" w:themeColor="accent6" w:themeTint="99"/>
          <w:sz w:val="32"/>
          <w:szCs w:val="32"/>
          <w:u w:val="single"/>
        </w:rPr>
        <w:t>C</w:t>
      </w:r>
      <w:r w:rsidRPr="00165ECB">
        <w:rPr>
          <w:b/>
          <w:bCs/>
          <w:u w:val="single"/>
        </w:rPr>
        <w:t>onseil de votre caviste :</w:t>
      </w:r>
      <w:r>
        <w:t xml:space="preserve">   Amateur de blanc vous apprécierez ce vin sur vos repas quotidien</w:t>
      </w:r>
      <w:r w:rsidR="00E31F4D">
        <w:t>s</w:t>
      </w:r>
      <w:r>
        <w:t xml:space="preserve"> et surtout pour vos apéritifs. Le côté pratique du bag in box vous permettra de le consommer selon vos besoins sur une période d’environ 21 jours tout en conservant la qualité du produit. A boire bien frais 10 °  et dans l’année. </w:t>
      </w:r>
    </w:p>
    <w:p w:rsidR="001E3326" w:rsidRDefault="001E3326" w:rsidP="001E3326">
      <w:pPr>
        <w:rPr>
          <w:color w:val="404040" w:themeColor="text1" w:themeTint="BF"/>
        </w:rPr>
      </w:pPr>
      <w:r w:rsidRPr="001E3326">
        <w:rPr>
          <w:rFonts w:ascii="Bradley Hand ITC" w:hAnsi="Bradley Hand ITC"/>
          <w:b/>
          <w:color w:val="A8D08D" w:themeColor="accent6" w:themeTint="99"/>
          <w:sz w:val="32"/>
          <w:szCs w:val="32"/>
          <w:u w:val="single"/>
        </w:rPr>
        <w:t>L</w:t>
      </w:r>
      <w:r w:rsidRPr="00337CFA">
        <w:rPr>
          <w:u w:val="single"/>
        </w:rPr>
        <w:t>abel</w:t>
      </w:r>
      <w:r>
        <w:t xml:space="preserve"> :  </w:t>
      </w:r>
      <w:r w:rsidR="00374157">
        <w:t xml:space="preserve"> </w:t>
      </w:r>
      <w:r>
        <w:t xml:space="preserve">            </w:t>
      </w:r>
      <w:r w:rsidR="00374157" w:rsidRPr="00E04498">
        <w:rPr>
          <w:noProof/>
          <w:lang w:eastAsia="fr-FR"/>
        </w:rPr>
        <w:drawing>
          <wp:inline distT="0" distB="0" distL="0" distR="0" wp14:anchorId="31ABEA6D" wp14:editId="2B4D25C0">
            <wp:extent cx="695325" cy="349672"/>
            <wp:effectExtent l="0" t="0" r="0" b="0"/>
            <wp:docPr id="5" name="Image 5" descr="D:\Users\Propriétaire\Desktop\LOGO AB E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Propriétaire\Desktop\LOGO AB EUR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420" cy="362292"/>
                    </a:xfrm>
                    <a:prstGeom prst="rect">
                      <a:avLst/>
                    </a:prstGeom>
                    <a:noFill/>
                    <a:ln>
                      <a:noFill/>
                    </a:ln>
                  </pic:spPr>
                </pic:pic>
              </a:graphicData>
            </a:graphic>
          </wp:inline>
        </w:drawing>
      </w:r>
      <w:r>
        <w:t xml:space="preserve">         </w:t>
      </w:r>
      <w:r>
        <w:rPr>
          <w:noProof/>
          <w:lang w:eastAsia="fr-FR"/>
        </w:rPr>
        <w:drawing>
          <wp:inline distT="0" distB="0" distL="0" distR="0" wp14:anchorId="49E150F7" wp14:editId="63EBFDFA">
            <wp:extent cx="495300" cy="279952"/>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102" cy="287753"/>
                    </a:xfrm>
                    <a:prstGeom prst="rect">
                      <a:avLst/>
                    </a:prstGeom>
                    <a:noFill/>
                    <a:ln>
                      <a:noFill/>
                    </a:ln>
                  </pic:spPr>
                </pic:pic>
              </a:graphicData>
            </a:graphic>
          </wp:inline>
        </w:drawing>
      </w:r>
      <w:r>
        <w:t xml:space="preserve">        </w:t>
      </w:r>
      <w:r>
        <w:rPr>
          <w:noProof/>
          <w:lang w:eastAsia="fr-FR"/>
        </w:rPr>
        <w:drawing>
          <wp:inline distT="0" distB="0" distL="0" distR="0" wp14:anchorId="6F7B4F63" wp14:editId="68A1748F">
            <wp:extent cx="779477" cy="277953"/>
            <wp:effectExtent l="0" t="0" r="190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400" cy="348174"/>
                    </a:xfrm>
                    <a:prstGeom prst="rect">
                      <a:avLst/>
                    </a:prstGeom>
                    <a:noFill/>
                    <a:ln>
                      <a:noFill/>
                    </a:ln>
                  </pic:spPr>
                </pic:pic>
              </a:graphicData>
            </a:graphic>
          </wp:inline>
        </w:drawing>
      </w:r>
      <w:r>
        <w:t xml:space="preserve">          </w:t>
      </w:r>
      <w:r>
        <w:rPr>
          <w:noProof/>
          <w:lang w:eastAsia="fr-FR"/>
        </w:rPr>
        <w:drawing>
          <wp:inline distT="0" distB="0" distL="0" distR="0" wp14:anchorId="15018BDC" wp14:editId="775F3EB3">
            <wp:extent cx="268800" cy="377067"/>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805" cy="400921"/>
                    </a:xfrm>
                    <a:prstGeom prst="rect">
                      <a:avLst/>
                    </a:prstGeom>
                    <a:noFill/>
                    <a:ln>
                      <a:noFill/>
                    </a:ln>
                  </pic:spPr>
                </pic:pic>
              </a:graphicData>
            </a:graphic>
          </wp:inline>
        </w:drawing>
      </w:r>
      <w:r>
        <w:t xml:space="preserve">   </w:t>
      </w:r>
    </w:p>
    <w:p w:rsidR="00FF4258" w:rsidRDefault="001E3326" w:rsidP="001E3326">
      <w:pPr>
        <w:pStyle w:val="Style1"/>
        <w:jc w:val="center"/>
      </w:pPr>
      <w:r w:rsidRPr="00337CFA">
        <w:rPr>
          <w:color w:val="404040" w:themeColor="text1" w:themeTint="BF"/>
          <w:sz w:val="22"/>
          <w:szCs w:val="22"/>
        </w:rPr>
        <w:t>Domaine La Jasse d’Isnard – 30470 Aimargues – tel : 04 66 88 61 98 www.jassedisnard.com</w:t>
      </w:r>
      <w:r>
        <w:rPr>
          <w:color w:val="404040" w:themeColor="text1" w:themeTint="BF"/>
          <w:sz w:val="22"/>
          <w:szCs w:val="22"/>
        </w:rPr>
        <w:t xml:space="preserve">          </w:t>
      </w:r>
    </w:p>
    <w:sectPr w:rsidR="00FF4258" w:rsidSect="001E3326">
      <w:pgSz w:w="8391" w:h="11907" w:code="11"/>
      <w:pgMar w:top="720" w:right="720" w:bottom="720" w:left="720" w:header="708" w:footer="708" w:gutter="0"/>
      <w:pgBorders w:offsetFrom="page">
        <w:top w:val="double" w:sz="6" w:space="24" w:color="A8D08D" w:themeColor="accent6" w:themeTint="99"/>
        <w:left w:val="double" w:sz="6" w:space="24" w:color="A8D08D" w:themeColor="accent6" w:themeTint="99"/>
        <w:bottom w:val="double" w:sz="6" w:space="24" w:color="A8D08D" w:themeColor="accent6" w:themeTint="99"/>
        <w:right w:val="double" w:sz="6"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26"/>
    <w:rsid w:val="00140674"/>
    <w:rsid w:val="001E3326"/>
    <w:rsid w:val="002219C5"/>
    <w:rsid w:val="002E7CB6"/>
    <w:rsid w:val="00374157"/>
    <w:rsid w:val="00E31F4D"/>
    <w:rsid w:val="00F93DFC"/>
    <w:rsid w:val="00FF4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4F150-9E71-49AA-9496-72A120DB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3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1E3326"/>
    <w:rPr>
      <w:sz w:val="56"/>
      <w:szCs w:val="56"/>
    </w:rPr>
  </w:style>
  <w:style w:type="character" w:customStyle="1" w:styleId="Style1Car">
    <w:name w:val="Style1 Car"/>
    <w:basedOn w:val="Policepardfaut"/>
    <w:link w:val="Style1"/>
    <w:rsid w:val="001E3326"/>
    <w:rPr>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CEFB-4218-4D9D-980E-E4B94278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Propriétaire</cp:lastModifiedBy>
  <cp:revision>5</cp:revision>
  <dcterms:created xsi:type="dcterms:W3CDTF">2016-01-22T10:03:00Z</dcterms:created>
  <dcterms:modified xsi:type="dcterms:W3CDTF">2019-02-22T13:48:00Z</dcterms:modified>
</cp:coreProperties>
</file>